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firstLine="567"/>
        <w:jc w:val="center"/>
        <w:rPr>
          <w:b/>
          <w:b/>
          <w:bCs/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Тема: Основные показатели надзорной деятельности отдела государственного энергетического надзора по Тверской области</w:t>
        <w:br/>
        <w:t xml:space="preserve">за </w:t>
      </w: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  <w:lang w:val="en-US"/>
        </w:rPr>
        <w:t>I</w:t>
      </w: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 xml:space="preserve"> полугодие 2025 года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</w:r>
    </w:p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СЛАЙД № 1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Добрый день!</w:t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Уважаемые участники мероприятия!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rFonts w:eastAsia="Times New Roman" w:cs="Times New Roman" w:ascii="Times New Roman" w:hAnsi="Times New Roman"/>
          <w:b/>
          <w:bCs/>
          <w:color w:val="auto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Представленный вашему вниманию доклад содержит обобщенную информацию, а также ряд проблемных вопросов по одному из видов надзора Центрального управления Ростехнадзора, а именно: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государственный энергетический надзор</w:t>
      </w:r>
    </w:p>
    <w:p>
      <w:pPr>
        <w:pStyle w:val="Normal"/>
        <w:widowControl w:val="false"/>
        <w:ind w:firstLine="567"/>
        <w:jc w:val="center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cs="Times New Roman"/>
          <w:b/>
          <w:b/>
          <w:sz w:val="30"/>
          <w:szCs w:val="3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  <w:u w:val="none"/>
        </w:rPr>
        <w:t>СЛАЙД № 2</w:t>
      </w:r>
    </w:p>
    <w:p>
      <w:pPr>
        <w:pStyle w:val="Normal"/>
        <w:widowControl w:val="false"/>
        <w:ind w:firstLine="567"/>
        <w:jc w:val="center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  <w:u w:val="none"/>
        </w:rPr>
        <w:t xml:space="preserve">       </w:t>
      </w:r>
      <w:r>
        <w:rPr>
          <w:rFonts w:cs="Times New Roman"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cs="Times New Roman" w:ascii="Times New Roman" w:hAnsi="Times New Roman"/>
          <w:b/>
          <w:sz w:val="30"/>
          <w:szCs w:val="30"/>
          <w:u w:val="single"/>
        </w:rPr>
        <w:t>Осуществление государственного энергетического надзора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rFonts w:eastAsia="Times New Roman" w:cs="Times New Roman" w:ascii="Times New Roman" w:hAnsi="Times New Roman"/>
          <w:b/>
          <w:bCs/>
          <w:color w:val="auto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На слайде представлена общая информация по количеству субъектов электроэнергетики, теплоснабжающих организаций, теплосетевых организаций и потребителей электрической энергии, поднадзорных Центральному управлению Ростехнадзора, отнесённых к категориям высокого, значительного, среднего и умеренного риска, осуществляющих свою деятельность на территории Тверской области. Следует отметить, что Управлением на постоянной основе ведётся работа по актуализации перечней таких организаций.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 w:eastAsia="Times New Roman" w:cs="Times New Roman"/>
          <w:bCs/>
          <w:color w:val="auto"/>
        </w:rPr>
      </w:pPr>
      <w:r>
        <w:rPr>
          <w:rFonts w:eastAsia="Times New Roman" w:cs="Times New Roman" w:ascii="Times New Roman" w:hAnsi="Times New Roman"/>
          <w:bCs/>
          <w:color w:val="auto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СЛАЙД № 3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rFonts w:eastAsia="Times New Roman" w:cs="Times New Roman" w:ascii="Times New Roman" w:hAnsi="Times New Roman"/>
          <w:b/>
          <w:bCs/>
          <w:color w:val="auto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В связи с выполнением Плана проведения плановых контрольных (надзорных) мероприятий Центральным управлением Федеральной службы по экологическому, технологическому и атомному надзору на 2024 год,</w:t>
        <w:br/>
        <w:t xml:space="preserve">на основании пункта 2 части 1 статьи 57 Федерального закона  </w:t>
      </w: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о</w:t>
      </w: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т 31июля 2020 г. № 248-ФЗ «О государственном контроле (надзоре) и муниципальном контроле в Российской Федерации», а также с учетом требований постановления Правительства Российской Федерации от 10 марта 2022 г.</w:t>
        <w:br/>
        <w:t>№ 336 «Об особенностях организации и осуществл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ения государственного контроля (надзора), муниципального контроля» (далее – Постановление</w:t>
        <w:br/>
        <w:t xml:space="preserve">№ 336) в 2025 году запланировано проведение 9 плановых выездных проверок организаций с присвоенной высокой категории риска в сфере электроэнергетики (6) и в сфере теплоснабжения (3). </w:t>
      </w:r>
    </w:p>
    <w:p>
      <w:pPr>
        <w:sectPr>
          <w:type w:val="nextPage"/>
          <w:pgSz w:w="11906" w:h="16838"/>
          <w:pgMar w:left="1241" w:right="681" w:gutter="0" w:header="0" w:top="1064" w:footer="0" w:bottom="869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В </w:t>
      </w:r>
      <w:r>
        <w:rPr>
          <w:rFonts w:eastAsia="Times New Roman" w:cs="Times New Roman" w:ascii="Times New Roman" w:hAnsi="Times New Roman"/>
          <w:color w:val="auto"/>
          <w:sz w:val="30"/>
          <w:szCs w:val="30"/>
          <w:lang w:val="en-US"/>
        </w:rPr>
        <w:t>I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 полугодии 2025 года проведены 1 внеплановая выездная проверка по 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обращениям граждан. 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Всего за </w:t>
      </w:r>
      <w:r>
        <w:rPr>
          <w:rFonts w:eastAsia="Times New Roman" w:cs="Times New Roman" w:ascii="Times New Roman" w:hAnsi="Times New Roman"/>
          <w:color w:val="auto"/>
          <w:sz w:val="30"/>
          <w:szCs w:val="30"/>
          <w:lang w:val="en-US"/>
        </w:rPr>
        <w:t>I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 полугодие 2025 года отделом государственного энергетического надзора по Тверской области проведено 145 проверок, выявлено 1052 нарушения в области законодательства «Об электроэнергетике» и «О теплоснабжении». 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При этом, следует отметить, что более 70% проверок осуществлялась по заявлениям юридических лиц и индивидуальных предпринимателей</w:t>
        <w:br/>
        <w:t>о проведении в отношении них мероприятий по контролю, для получения разрешительных документов.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отношении 50 юридических и должностных лиц составлены протоколы об административном правонарушении по ст. 9.11 КоАП РФ,</w:t>
        <w:br/>
        <w:t>в том числе по Тверской области привлечены к административной ответственности 21 юридическое и 29 должностных лиц.</w:t>
      </w:r>
    </w:p>
    <w:p>
      <w:pPr>
        <w:pStyle w:val="Normal"/>
        <w:widowControl w:val="false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Отделом государственного энергетического по Тверской области надзора проводится работа по профилактике нарушений обязательных требований.</w:t>
      </w:r>
    </w:p>
    <w:p>
      <w:pPr>
        <w:pStyle w:val="Normal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случаях поступления информации о готовящихся нарушениях или признаках нарушений обязательных требований, если ранее лицо не привлекалось к ответственности и отсутствуют сведения о причинении вреда жизни, здоровью граждан, животным, растениям, окружающей среде, объектам культурного наследия, органы контроля (надзора) объявляют предостережение о недопустимости нарушения обязательных требований, предлагают принять меры по обеспечению их соблюдения.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30"/>
          <w:szCs w:val="30"/>
        </w:rPr>
        <w:t>В рамках приказа Центрального управления Ростехнадзора от 28 декабря 2024 года № ПР-210-1128-о «Об организации проведения профилактических мероприятий в отношении контролируемых лиц в 2025 году» работниками отдела проведен анализ информации контролируемых лицах</w:t>
        <w:br/>
        <w:t>и эксплуатируемых ими поднадзорных объектах.</w:t>
      </w:r>
    </w:p>
    <w:p>
      <w:pPr>
        <w:pStyle w:val="Normal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целях недопущения нарушений требований по эксплуатации энергообъектов юридическим лицам объявлено 46 предостережений</w:t>
        <w:br/>
        <w:t xml:space="preserve">о недопустимости нарушения обязательных требований. 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СЛАЙД № 4</w:t>
      </w:r>
    </w:p>
    <w:p>
      <w:pPr>
        <w:pStyle w:val="Normal"/>
        <w:widowControl w:val="false"/>
        <w:ind w:right="-142" w:firstLine="708"/>
        <w:jc w:val="center"/>
        <w:rPr>
          <w:rFonts w:ascii="Times New Roman" w:hAnsi="Times New Roman" w:eastAsia="Times New Roman" w:cs="Times New Roman"/>
          <w:b/>
          <w:b/>
          <w:color w:val="auto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u w:val="single"/>
        </w:rPr>
      </w:r>
    </w:p>
    <w:p>
      <w:pPr>
        <w:pStyle w:val="Normal"/>
        <w:widowControl w:val="false"/>
        <w:ind w:right="-142" w:firstLine="708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auto"/>
          <w:sz w:val="30"/>
          <w:szCs w:val="30"/>
          <w:u w:val="single"/>
        </w:rPr>
        <w:t>Подготовка к ОЗП муниципальных образований.</w:t>
      </w:r>
    </w:p>
    <w:p>
      <w:pPr>
        <w:pStyle w:val="Normal"/>
        <w:widowControl w:val="false"/>
        <w:ind w:right="-142" w:firstLine="708"/>
        <w:jc w:val="both"/>
        <w:rPr>
          <w:rFonts w:ascii="Times New Roman" w:hAnsi="Times New Roman" w:eastAsia="Times New Roman" w:cs="Times New Roman"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73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Одним из приоритетных и социально важных направлений деятельности Центрального управления является ежегодная проверка готовности электросетевых и теплоснабжающих организаций</w:t>
        <w:br/>
        <w:t>к прохождению отопительного периода.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Основные нарушения, выявляемые при подготовке к работе в осенне-зимний период представлены на экране.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В рамках данной работы должностные лица Управления будут принимать участие в работе Комиссий на территории муниципальных образований Тверской области. В ходе работы комиссии будет проведена работа</w:t>
        <w:br/>
        <w:t>по осмотру теплоэнергетического оборудования и проверке документов</w:t>
        <w:br/>
        <w:t xml:space="preserve">в отношении теплоснабжающих организаций. осуществляющих свою деятельность на территории муниципальных образований. 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Отмечу, что на протяжении нескольких лет осуществляется взаимодействие Центрального управления Ростехнадзора с органами исполнительной власти по вопросам подготовки и прохождения осенне-зимнего периода. В целях осуществления Концепции открытости федеральных органов исполнительной власти, обеспечения прозрачности действий, организована очная работа Комиссии по оценке готовности к отопительному периоду муниципальных образований, на которой</w:t>
      </w: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 xml:space="preserve"> </w:t>
      </w: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заместитель руководителя, начальник профильного отдела и государственные инспектора совместно</w:t>
        <w:br/>
        <w:t>с представителями профильного органа субъекта Российской Федерации давали оценку их готовности, оперативно снимали спорные вопросы, а также принимали решение о готовности/не готовности муниципального образования.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 w:eastAsia="Times New Roman" w:cs="Times New Roman"/>
          <w:bCs/>
          <w:color w:val="auto"/>
        </w:rPr>
      </w:pPr>
      <w:r>
        <w:rPr>
          <w:rFonts w:eastAsia="Times New Roman" w:cs="Times New Roman" w:ascii="Times New Roman" w:hAnsi="Times New Roman"/>
          <w:bCs/>
          <w:color w:val="auto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СЛАЙД № 5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auto"/>
        </w:rPr>
      </w:pPr>
      <w:r>
        <w:rPr>
          <w:rFonts w:eastAsia="Times New Roman" w:cs="Times New Roman" w:ascii="Times New Roman" w:hAnsi="Times New Roman"/>
          <w:b/>
          <w:bCs/>
          <w:color w:val="auto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Анализируя данные, представленные на слайде, можно отметить эффективность очных комиссий – это увеличение процента готовности муниципальных образований Тверской области к прохож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дению осенне-зимнего периода 2024-2025 годов по сравнению с предыдущими периодами.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В Тверской области акты готовности получили 33 муниципальных образования из 39. 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  <w:lang w:bidi="ru-RU"/>
        </w:rPr>
        <w:t xml:space="preserve">6 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муниципальных образований, а именно: город Тверь, город Торжок, Торжокский  муниципальный округ, Ржевский муниципальный округ, Зубцовский муниципальный округ,  Вышневолоцкий муниципальный округ признаны неготовыми к отопительному периоду 2024-2025 гг. по причине</w:t>
        <w:br/>
        <w:t>не устранения в полном объеме ранее выявленных замечаний, основные</w:t>
        <w:br/>
        <w:t>из которых</w:t>
      </w:r>
      <w:r>
        <w:rPr>
          <w:rFonts w:eastAsia="Times New Roman" w:cs="Times New Roman" w:ascii="Times New Roman" w:hAnsi="Times New Roman"/>
          <w:color w:val="auto"/>
          <w:sz w:val="30"/>
          <w:szCs w:val="30"/>
          <w:lang w:bidi="ru-RU"/>
        </w:rPr>
        <w:t>: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отсутствие документов, подтверждающих соответствии фактического запаса топлива утвержденным нормативам на всех источниках тепловой энергии;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неустраненные предписания;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эксплуатация теплоэнергетического оборудования сверх ресурса.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Вместе с тем стоит обратить особое внимание на р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яд муниципальных образований, которые на протяжении 2-х лет не получают паспорта готовности к отопительному периоду (город Тверь, город Торжок, Зубцовский муниципальный округ).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К основным причинам неготовности муниципальных образований можно отнести нарушение порядка проведения оценки готовности теплоснабжающих и теплосетевых организаций внутри муниципального образования.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В свою очередь неготовность теплосетевых и теплоснабжающих организаций связана: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- с несвоевременным проведением работ по диагностированию</w:t>
        <w:br/>
        <w:t>и ремонту;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- с отсутствием продления срока эксплуатации теплоэнергетического оборудования;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- с отсутствием режимно-наладочных испытаний;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- отсутствие нормативных запасов резервного топлива в котельных.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 w:eastAsia="Times New Roman" w:cs="Times New Roman"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auto"/>
          <w:sz w:val="30"/>
          <w:szCs w:val="30"/>
          <w:u w:val="single"/>
        </w:rPr>
        <w:t>Охранные зоны.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color w:val="auto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u w:val="single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В рамках осуществления федерального г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осударственного энергетического надзора отделом осуществляется согласование охранных зон объектов электросетевого хозяйства. 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За 2024 год принято решение о согласовании 796 охранных зон объектов электросетевого хозяйства. В </w:t>
      </w:r>
      <w:r>
        <w:rPr>
          <w:rFonts w:eastAsia="Times New Roman" w:cs="Times New Roman" w:ascii="Times New Roman" w:hAnsi="Times New Roman"/>
          <w:color w:val="auto"/>
          <w:sz w:val="30"/>
          <w:szCs w:val="30"/>
          <w:lang w:val="en-US"/>
        </w:rPr>
        <w:t>I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 полугодии 2025 года в Тверской области поступило 15 заявлений на согласование охранных зон объектов электросетевого хозяйства, Управлением согласованы границы 13 охранных зон, в удовлетворении 2 отказано.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 w:eastAsia="Times New Roman" w:cs="Times New Roman"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auto"/>
          <w:sz w:val="30"/>
          <w:szCs w:val="30"/>
          <w:u w:val="single"/>
        </w:rPr>
        <w:t xml:space="preserve">Реализации полномочий в части обеспечения </w:t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auto"/>
          <w:sz w:val="30"/>
          <w:szCs w:val="30"/>
          <w:u w:val="single"/>
        </w:rPr>
        <w:t>статей 9.22 и 14.61 КоАП РФ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color w:val="auto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u w:val="single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Отделом государственного энергетического надзора по Тверской области проводится работа по привлечению недобросовестных потребителей электроэнергии и получателей услуг по ее транспортировке</w:t>
        <w:br/>
        <w:t>к административной ответственности по ст. 9.22 и 14.61 КоАП РФ</w:t>
        <w:br/>
        <w:t>на основании заявлений гарантирующего поставщика, сетевых организаций,</w:t>
        <w:br/>
        <w:t>а также по материалам, направленным прокуратурой Тверской области.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Всего за от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четный период в отдел государственного энергетического надзора по Тверской области поступило 10 заявлений о привлечении лиц к административной ответственности по ст. 9.22 и ст. 14.61 КоАП РФ. По 5 заявлениям принято решение о возбуждении дел об административных правонарушениях.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По 5 материалам принято решение об отказе в возбуждении дел</w:t>
        <w:br/>
        <w:t>об административных правонарушениях. На рассмотрение в суд направлено</w:t>
        <w:br/>
        <w:t>5 административных дел по ст. 9.22 КоАП РФ.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Следует отметить, что вследствие нарушений гарантирующими поставщиками отдельных процессуальных норм, не во всех случаях должностными лицами Управления принимаются решения о возбуждении дел.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С целью максимально эффективной реализации своих полномочий,</w:t>
        <w:br/>
        <w:t>а также укрепления платёжной дисциплины потребителей электрической энергии, Управлением в адрес энергосбытовых организаций направляются информационные письма о результатах рассмотрения материалов. Проводятся рабочие совещания с участием гарантирующих поставщиков,</w:t>
        <w:br/>
        <w:t xml:space="preserve">где рассматриваются основные проблемные вопросы и вырабатываются пути их решения. 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color w:val="auto"/>
          <w:sz w:val="30"/>
          <w:szCs w:val="30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z w:val="30"/>
          <w:szCs w:val="30"/>
          <w:u w:val="single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auto"/>
          <w:sz w:val="30"/>
          <w:szCs w:val="30"/>
          <w:u w:val="single"/>
        </w:rPr>
        <w:t>Аварийность и травматизм.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 w:eastAsia="Times New Roman" w:cs="Times New Roman"/>
          <w:bCs/>
          <w:color w:val="auto"/>
        </w:rPr>
      </w:pPr>
      <w:r>
        <w:rPr>
          <w:rFonts w:eastAsia="Times New Roman" w:cs="Times New Roman" w:ascii="Times New Roman" w:hAnsi="Times New Roman"/>
          <w:bCs/>
          <w:color w:val="auto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Центральным управлением Ростехнадзора ведется работа, направленная на предупреждение, выявление и пресечение нарушений обязательных требований посредством контрольных (надзорных) мероприятий, а также профилактики нарушений.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 w:eastAsia="Times New Roman" w:cs="Times New Roman"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СЛАЙД № 6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cs="Times New Roman" w:ascii="Times New Roman" w:hAnsi="Times New Roman"/>
          <w:color w:val="auto"/>
          <w:sz w:val="30"/>
          <w:szCs w:val="30"/>
        </w:rPr>
        <w:t xml:space="preserve">В </w:t>
      </w:r>
      <w:r>
        <w:rPr>
          <w:rFonts w:cs="Times New Roman" w:ascii="Times New Roman" w:hAnsi="Times New Roman"/>
          <w:color w:val="auto"/>
          <w:sz w:val="30"/>
          <w:szCs w:val="30"/>
          <w:lang w:val="en-US"/>
        </w:rPr>
        <w:t>I</w:t>
      </w:r>
      <w:r>
        <w:rPr>
          <w:rFonts w:cs="Times New Roman" w:ascii="Times New Roman" w:hAnsi="Times New Roman"/>
          <w:color w:val="auto"/>
          <w:sz w:val="30"/>
          <w:szCs w:val="30"/>
        </w:rPr>
        <w:t xml:space="preserve"> полугодии 2025 года произошло 2271 отключение, из которых 2218 - по причине отключения ВЛ и ТП напряжением 6-35 кВ.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 xml:space="preserve">Основное количество аварий произошли на линиях электропередачи 35 кВ и ниже, что свидетельствует о недостаточности и неэффективности принятия мер электросетевыми организациями по снижению аварийности. 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Основными причинами аварий на ВЛ является несвоевременное выявление дефектов элементов воздушных линий, а также падение деревьев</w:t>
        <w:br/>
        <w:t>на провода воздушных линий электропередачи. Возникновения данных аварийных ситуаций обусловлено следующими предпосылками и причинами возникновения и развития данных ситуаций: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несоблюдение сроков и объемов технического обслуживания</w:t>
        <w:br/>
        <w:t>и ремонта оборудования и устройств, а также низкое качество технического обслуживания;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несвоевременное выявление и устранение дефектов;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износ оборудования в процессе длительной эксплуатации;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несвоевременная расчистка охранных зон ВЛ, а также удаление деревьев, угрожающих падению;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не укомплектованность квалифицированным персоналом</w:t>
        <w:br/>
        <w:t>в соответствии со штатным расписанием, а также его «загруженность».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Как следствие аварийные ситуации на объектах электроэнергетики приводят к несчастным случаям. На территории Тверской области</w:t>
        <w:br/>
        <w:t>со смертельным исходом на поднадзорных объектах Центрального управления Ростехнадзора за отчетный период таковых не было.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В целях профилактики аварийности и травматизма на сайте Центрального управления Ростехнадзора ежеквартально публикуется анализ несчастных случаев на энергоустановках в разрезе всех управлений Ростехнадзора, а также проводится информирование поднадзорных организаций об извлечённых уроках для обязательного изучения сотрудниками предприятий информации</w:t>
        <w:br/>
        <w:t>с реальными примерами «как делать не надо».</w:t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Кроме того, в рамках профилактики аварийности и травматизма отделом государственного энергетического надзора по Тверской области объявляются предостережения о недопустимости нарушения обязательных требований</w:t>
        <w:br/>
        <w:t>в сфере электроэнергетики и теплоснабжения</w:t>
      </w:r>
    </w:p>
    <w:p>
      <w:pPr>
        <w:pStyle w:val="Normal"/>
        <w:widowControl w:val="false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СЛАЙД № 7</w:t>
      </w:r>
    </w:p>
    <w:p>
      <w:pPr>
        <w:pStyle w:val="Normal"/>
        <w:widowControl w:val="false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  <w:u w:val="single"/>
        </w:rPr>
        <w:t>Проверка знаний в области энергетического надзора.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 w:eastAsia="Times New Roman" w:cs="Times New Roman"/>
          <w:bCs/>
          <w:color w:val="auto"/>
        </w:rPr>
      </w:pPr>
      <w:r>
        <w:rPr>
          <w:rFonts w:eastAsia="Times New Roman" w:cs="Times New Roman" w:ascii="Times New Roman" w:hAnsi="Times New Roman"/>
          <w:bCs/>
          <w:color w:val="auto"/>
        </w:rPr>
      </w:r>
    </w:p>
    <w:p>
      <w:pPr>
        <w:pStyle w:val="Normal"/>
        <w:widowControl w:val="false"/>
        <w:ind w:firstLine="567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На территории Тверской области в комиссии Центрального управления Ростехнадзора проводится проверка знаний электробезопасности у работников поднадзорных организаций на базе успешно информационной системы «Единый портал тестирования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», так за отчетный период от поднадзорных организаций было получено заявлений о проверке знаний 2237 лиц, прошли проверку знаний  в территориальной комиссии Ростехнадзора 2134 лица,</w:t>
        <w:br/>
        <w:t>из которых 2134 лица сдали и 103 - получили неудовлетворительную оценку.</w:t>
      </w:r>
    </w:p>
    <w:p>
      <w:pPr>
        <w:pStyle w:val="Normal"/>
        <w:widowControl w:val="false"/>
        <w:ind w:firstLine="567"/>
        <w:jc w:val="both"/>
        <w:rPr>
          <w:rFonts w:ascii="Times New Roman" w:hAnsi="Times New Roman" w:eastAsia="Times New Roman" w:cs="Times New Roman"/>
          <w:b/>
          <w:b/>
          <w:color w:val="auto"/>
          <w:sz w:val="30"/>
          <w:szCs w:val="30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z w:val="30"/>
          <w:szCs w:val="30"/>
          <w:u w:val="single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auto"/>
          <w:sz w:val="30"/>
          <w:szCs w:val="30"/>
          <w:u w:val="single"/>
        </w:rPr>
        <w:t>Обращения граждан.</w:t>
      </w:r>
    </w:p>
    <w:p>
      <w:pPr>
        <w:pStyle w:val="Normal"/>
        <w:widowControl w:val="false"/>
        <w:ind w:firstLine="567"/>
        <w:jc w:val="center"/>
        <w:rPr>
          <w:rFonts w:ascii="Times New Roman" w:hAnsi="Times New Roman" w:eastAsia="Times New Roman" w:cs="Times New Roman"/>
          <w:b/>
          <w:b/>
          <w:color w:val="auto"/>
          <w:sz w:val="30"/>
          <w:szCs w:val="30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z w:val="30"/>
          <w:szCs w:val="30"/>
          <w:u w:val="single"/>
        </w:rPr>
      </w:r>
    </w:p>
    <w:p>
      <w:pPr>
        <w:pStyle w:val="Normal"/>
        <w:ind w:firstLine="708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Большая работа проводится по рассмотрению обращений граждан, исполнительных и надзорных органов.</w:t>
      </w:r>
    </w:p>
    <w:p>
      <w:pPr>
        <w:pStyle w:val="Normal"/>
        <w:ind w:firstLine="708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  <w:t>В соответствии с Федеральным законом от 2 мая 2006 г. № 59-ФЗ</w:t>
        <w:br/>
        <w:t xml:space="preserve">«О порядке рассмотрения обращений граждан Российской 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Федерации»  отделом государственного энергетического надзора по Тверской области</w:t>
        <w:br/>
        <w:t>за отчетный период рассмотрено 57 обращений.</w:t>
      </w:r>
    </w:p>
    <w:p>
      <w:pPr>
        <w:pStyle w:val="Normal"/>
        <w:ind w:firstLine="708"/>
        <w:jc w:val="both"/>
        <w:rPr>
          <w:sz w:val="30"/>
          <w:szCs w:val="30"/>
        </w:rPr>
      </w:pP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По результатам рассмотрения обращений в </w:t>
      </w:r>
      <w:r>
        <w:rPr>
          <w:rFonts w:eastAsia="Times New Roman" w:cs="Times New Roman" w:ascii="Times New Roman" w:hAnsi="Times New Roman"/>
          <w:color w:val="auto"/>
          <w:sz w:val="30"/>
          <w:szCs w:val="30"/>
          <w:lang w:val="en-US"/>
        </w:rPr>
        <w:t>I</w:t>
      </w:r>
      <w:r>
        <w:rPr>
          <w:rFonts w:eastAsia="Times New Roman" w:cs="Times New Roman" w:ascii="Times New Roman" w:hAnsi="Times New Roman"/>
          <w:color w:val="auto"/>
          <w:sz w:val="30"/>
          <w:szCs w:val="30"/>
        </w:rPr>
        <w:t xml:space="preserve"> полугодии 2025 года было объявлено 50 предостережений о недопустимости нарушения обязательных требований, по согласованию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auto"/>
          <w:sz w:val="30"/>
          <w:szCs w:val="30"/>
        </w:rPr>
        <w:t>с прокуратурой Тверской области проведена</w:t>
        <w:br/>
        <w:t>1 внеплановая выездная проверка.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b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/>
          <w:bCs/>
          <w:color w:val="auto"/>
          <w:sz w:val="30"/>
          <w:szCs w:val="30"/>
        </w:rPr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Благодарю за внимание!</w:t>
      </w:r>
    </w:p>
    <w:p>
      <w:pPr>
        <w:pStyle w:val="Normal"/>
        <w:widowControl w:val="false"/>
        <w:ind w:firstLine="567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30"/>
          <w:szCs w:val="30"/>
        </w:rPr>
        <w:t>Доклад окончен</w:t>
      </w:r>
    </w:p>
    <w:sectPr>
      <w:headerReference w:type="default" r:id="rId2"/>
      <w:type w:val="nextPage"/>
      <w:pgSz w:w="11906" w:h="16838"/>
      <w:pgMar w:left="1134" w:right="565" w:gutter="0" w:header="0" w:top="851" w:footer="0" w:bottom="7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Arial Unicode MS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  <w:font w:name="Palatino Linotype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6</w:t>
    </w:r>
    <w:r>
      <w:rPr>
        <w:rFonts w:cs="Times New Roman"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170f"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3775b6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4">
    <w:name w:val="Heading 4"/>
    <w:basedOn w:val="Normal"/>
    <w:next w:val="Normal"/>
    <w:link w:val="40"/>
    <w:semiHidden/>
    <w:unhideWhenUsed/>
    <w:qFormat/>
    <w:rsid w:val="00093e9d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541960"/>
    <w:rPr>
      <w:color w:val="000080"/>
      <w:u w:val="single"/>
    </w:rPr>
  </w:style>
  <w:style w:type="character" w:styleId="Style13" w:customStyle="1">
    <w:name w:val="Основной текст Знак"/>
    <w:qFormat/>
    <w:rsid w:val="00541960"/>
    <w:rPr>
      <w:rFonts w:ascii="Palatino Linotype" w:hAnsi="Palatino Linotype" w:cs="Palatino Linotype"/>
      <w:spacing w:val="-20"/>
      <w:sz w:val="30"/>
      <w:szCs w:val="30"/>
    </w:rPr>
  </w:style>
  <w:style w:type="character" w:styleId="0pt" w:customStyle="1">
    <w:name w:val="Основной текст + Интервал 0 pt"/>
    <w:qFormat/>
    <w:rsid w:val="00541960"/>
    <w:rPr>
      <w:rFonts w:ascii="Palatino Linotype" w:hAnsi="Palatino Linotype" w:cs="Palatino Linotype"/>
      <w:spacing w:val="0"/>
      <w:sz w:val="30"/>
      <w:szCs w:val="30"/>
      <w:lang w:val="en-US" w:eastAsia="en-US"/>
    </w:rPr>
  </w:style>
  <w:style w:type="character" w:styleId="1pt" w:customStyle="1">
    <w:name w:val="Основной текст + Интервал 1 pt"/>
    <w:qFormat/>
    <w:rsid w:val="00541960"/>
    <w:rPr>
      <w:rFonts w:ascii="Palatino Linotype" w:hAnsi="Palatino Linotype" w:cs="Palatino Linotype"/>
      <w:spacing w:val="30"/>
      <w:sz w:val="30"/>
      <w:szCs w:val="30"/>
    </w:rPr>
  </w:style>
  <w:style w:type="character" w:styleId="11" w:customStyle="1">
    <w:name w:val="Заголовок №1_"/>
    <w:link w:val="11"/>
    <w:qFormat/>
    <w:rsid w:val="00541960"/>
    <w:rPr>
      <w:rFonts w:ascii="Palatino Linotype" w:hAnsi="Palatino Linotype" w:cs="Palatino Linotype"/>
      <w:spacing w:val="-20"/>
      <w:sz w:val="30"/>
      <w:szCs w:val="30"/>
    </w:rPr>
  </w:style>
  <w:style w:type="character" w:styleId="Tahoma" w:customStyle="1">
    <w:name w:val="Основной текст + Tahoma"/>
    <w:qFormat/>
    <w:rsid w:val="00541960"/>
    <w:rPr>
      <w:rFonts w:ascii="Tahoma" w:hAnsi="Tahoma" w:cs="Tahoma"/>
      <w:b/>
      <w:bCs/>
      <w:i/>
      <w:iCs/>
      <w:spacing w:val="0"/>
      <w:sz w:val="23"/>
      <w:szCs w:val="23"/>
    </w:rPr>
  </w:style>
  <w:style w:type="character" w:styleId="0pt1" w:customStyle="1">
    <w:name w:val="Основной текст + Интервал 0 pt1"/>
    <w:qFormat/>
    <w:rsid w:val="00541960"/>
    <w:rPr>
      <w:rFonts w:ascii="Palatino Linotype" w:hAnsi="Palatino Linotype" w:cs="Palatino Linotype"/>
      <w:spacing w:val="0"/>
      <w:sz w:val="30"/>
      <w:szCs w:val="30"/>
    </w:rPr>
  </w:style>
  <w:style w:type="character" w:styleId="Style14" w:customStyle="1">
    <w:name w:val="Верхний колонтитул Знак"/>
    <w:uiPriority w:val="99"/>
    <w:qFormat/>
    <w:rsid w:val="0001262f"/>
    <w:rPr>
      <w:color w:val="000000"/>
      <w:sz w:val="24"/>
      <w:szCs w:val="24"/>
    </w:rPr>
  </w:style>
  <w:style w:type="character" w:styleId="Style15" w:customStyle="1">
    <w:name w:val="Нижний колонтитул Знак"/>
    <w:qFormat/>
    <w:rsid w:val="0001262f"/>
    <w:rPr>
      <w:color w:val="000000"/>
      <w:sz w:val="24"/>
      <w:szCs w:val="24"/>
    </w:rPr>
  </w:style>
  <w:style w:type="character" w:styleId="3" w:customStyle="1">
    <w:name w:val="Основной текст с отступом 3 Знак"/>
    <w:link w:val="3"/>
    <w:qFormat/>
    <w:rsid w:val="00503f1d"/>
    <w:rPr>
      <w:color w:val="000000"/>
      <w:sz w:val="16"/>
      <w:szCs w:val="16"/>
    </w:rPr>
  </w:style>
  <w:style w:type="character" w:styleId="Style16" w:customStyle="1">
    <w:name w:val="Текст выноски Знак"/>
    <w:qFormat/>
    <w:rsid w:val="004e5e9b"/>
    <w:rPr>
      <w:rFonts w:ascii="Tahoma" w:hAnsi="Tahoma" w:cs="Tahoma"/>
      <w:color w:val="000000"/>
      <w:sz w:val="16"/>
      <w:szCs w:val="16"/>
    </w:rPr>
  </w:style>
  <w:style w:type="character" w:styleId="12" w:customStyle="1">
    <w:name w:val="Заголовок 1 Знак"/>
    <w:link w:val="10"/>
    <w:qFormat/>
    <w:rsid w:val="003775b6"/>
    <w:rPr>
      <w:rFonts w:ascii="Cambria" w:hAnsi="Cambria" w:eastAsia="Times New Roman" w:cs="Times New Roman"/>
      <w:b/>
      <w:bCs/>
      <w:color w:val="000000"/>
      <w:kern w:val="2"/>
      <w:sz w:val="32"/>
      <w:szCs w:val="32"/>
    </w:rPr>
  </w:style>
  <w:style w:type="character" w:styleId="2" w:customStyle="1">
    <w:name w:val="Основной текст 2 Знак"/>
    <w:link w:val="2"/>
    <w:qFormat/>
    <w:rsid w:val="00537d72"/>
    <w:rPr>
      <w:color w:val="000000"/>
      <w:sz w:val="24"/>
      <w:szCs w:val="24"/>
    </w:rPr>
  </w:style>
  <w:style w:type="character" w:styleId="31" w:customStyle="1">
    <w:name w:val="Основной текст 3 Знак"/>
    <w:link w:val="30"/>
    <w:qFormat/>
    <w:rsid w:val="00537d72"/>
    <w:rPr>
      <w:rFonts w:ascii="Times New Roman" w:hAnsi="Times New Roman" w:eastAsia="Times New Roman" w:cs="Times New Roman"/>
      <w:sz w:val="16"/>
      <w:szCs w:val="16"/>
    </w:rPr>
  </w:style>
  <w:style w:type="character" w:styleId="Style17" w:customStyle="1">
    <w:name w:val="Текст Знак"/>
    <w:qFormat/>
    <w:rsid w:val="00537d72"/>
    <w:rPr>
      <w:rFonts w:ascii="Courier New" w:hAnsi="Courier New" w:eastAsia="Times New Roman" w:cs="Courier New"/>
      <w:sz w:val="24"/>
      <w:szCs w:val="24"/>
    </w:rPr>
  </w:style>
  <w:style w:type="character" w:styleId="Blk" w:customStyle="1">
    <w:name w:val="blk"/>
    <w:qFormat/>
    <w:rsid w:val="004610ff"/>
    <w:rPr/>
  </w:style>
  <w:style w:type="character" w:styleId="Hl" w:customStyle="1">
    <w:name w:val="hl"/>
    <w:basedOn w:val="DefaultParagraphFont"/>
    <w:qFormat/>
    <w:rsid w:val="00743fac"/>
    <w:rPr/>
  </w:style>
  <w:style w:type="character" w:styleId="Style18" w:customStyle="1">
    <w:name w:val="Абзац списка Знак"/>
    <w:uiPriority w:val="34"/>
    <w:qFormat/>
    <w:locked/>
    <w:rsid w:val="00dd1de9"/>
    <w:rPr>
      <w:color w:val="000000"/>
      <w:sz w:val="24"/>
      <w:szCs w:val="24"/>
    </w:rPr>
  </w:style>
  <w:style w:type="character" w:styleId="FontStyle25" w:customStyle="1">
    <w:name w:val="Font Style25"/>
    <w:qFormat/>
    <w:rsid w:val="00fd79ed"/>
    <w:rPr>
      <w:rFonts w:ascii="Times New Roman" w:hAnsi="Times New Roman" w:cs="Times New Roman"/>
      <w:sz w:val="26"/>
      <w:szCs w:val="26"/>
    </w:rPr>
  </w:style>
  <w:style w:type="character" w:styleId="41" w:customStyle="1">
    <w:name w:val="Заголовок 4 Знак"/>
    <w:basedOn w:val="DefaultParagraphFont"/>
    <w:link w:val="4"/>
    <w:semiHidden/>
    <w:qFormat/>
    <w:rsid w:val="00093e9d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yle19" w:customStyle="1">
    <w:name w:val="Символ нумерации"/>
    <w:qFormat/>
    <w:rPr/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1">
    <w:name w:val="Body Text"/>
    <w:basedOn w:val="Normal"/>
    <w:rsid w:val="00541960"/>
    <w:pPr>
      <w:shd w:val="clear" w:color="auto" w:fill="FFFFFF"/>
      <w:spacing w:lineRule="atLeast" w:line="240" w:before="0" w:after="960"/>
      <w:jc w:val="both"/>
    </w:pPr>
    <w:rPr>
      <w:rFonts w:ascii="Palatino Linotype" w:hAnsi="Palatino Linotype" w:cs="Palatino Linotype"/>
      <w:color w:val="auto"/>
      <w:spacing w:val="-20"/>
      <w:sz w:val="30"/>
      <w:szCs w:val="30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3" w:customStyle="1">
    <w:name w:val="Заголовок №1"/>
    <w:basedOn w:val="Normal"/>
    <w:qFormat/>
    <w:rsid w:val="00541960"/>
    <w:pPr>
      <w:shd w:val="clear" w:color="auto" w:fill="FFFFFF"/>
      <w:spacing w:lineRule="atLeast" w:line="240" w:before="960" w:after="960"/>
      <w:outlineLvl w:val="0"/>
    </w:pPr>
    <w:rPr>
      <w:rFonts w:ascii="Palatino Linotype" w:hAnsi="Palatino Linotype" w:cs="Palatino Linotype"/>
      <w:color w:val="auto"/>
      <w:spacing w:val="-20"/>
      <w:sz w:val="30"/>
      <w:szCs w:val="30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rsid w:val="0001262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01262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qFormat/>
    <w:rsid w:val="00503f1d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qFormat/>
    <w:rsid w:val="004e5e9b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4032a1"/>
    <w:pPr/>
    <w:rPr>
      <w:rFonts w:ascii="Times New Roman" w:hAnsi="Times New Roman" w:eastAsia="Times New Roman" w:cs="Times New Roman"/>
      <w:b/>
      <w:color w:val="auto"/>
      <w:szCs w:val="20"/>
      <w:lang w:eastAsia="ar-SA"/>
    </w:rPr>
  </w:style>
  <w:style w:type="paragraph" w:styleId="Formattext" w:customStyle="1">
    <w:name w:val="formattext"/>
    <w:basedOn w:val="Normal"/>
    <w:qFormat/>
    <w:rsid w:val="00ba0c08"/>
    <w:pPr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paragraph" w:styleId="BodyText2">
    <w:name w:val="Body Text 2"/>
    <w:basedOn w:val="Normal"/>
    <w:qFormat/>
    <w:rsid w:val="00537d72"/>
    <w:pPr>
      <w:spacing w:lineRule="auto" w:line="480" w:before="0" w:after="120"/>
    </w:pPr>
    <w:rPr/>
  </w:style>
  <w:style w:type="paragraph" w:styleId="BodyText3">
    <w:name w:val="Body Text 3"/>
    <w:basedOn w:val="Normal"/>
    <w:qFormat/>
    <w:rsid w:val="00537d72"/>
    <w:pPr>
      <w:spacing w:before="0" w:after="120"/>
    </w:pPr>
    <w:rPr>
      <w:rFonts w:ascii="Times New Roman" w:hAnsi="Times New Roman" w:eastAsia="Times New Roman" w:cs="Times New Roman"/>
      <w:color w:val="auto"/>
      <w:sz w:val="16"/>
      <w:szCs w:val="16"/>
    </w:rPr>
  </w:style>
  <w:style w:type="paragraph" w:styleId="PlainText">
    <w:name w:val="Plain Text"/>
    <w:basedOn w:val="Normal"/>
    <w:qFormat/>
    <w:rsid w:val="00537d72"/>
    <w:pPr/>
    <w:rPr>
      <w:rFonts w:ascii="Courier New" w:hAnsi="Courier New" w:eastAsia="Times New Roman" w:cs="Courier New"/>
      <w:color w:val="auto"/>
    </w:rPr>
  </w:style>
  <w:style w:type="paragraph" w:styleId="NormalWeb">
    <w:name w:val="Normal (Web)"/>
    <w:basedOn w:val="Normal"/>
    <w:uiPriority w:val="99"/>
    <w:unhideWhenUsed/>
    <w:qFormat/>
    <w:rsid w:val="00e6217d"/>
    <w:pPr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020bc1"/>
    <w:pPr>
      <w:ind w:left="708" w:hanging="0"/>
    </w:pPr>
    <w:rPr/>
  </w:style>
  <w:style w:type="paragraph" w:styleId="ConsPlusNormal" w:customStyle="1">
    <w:name w:val="ConsPlusNormal"/>
    <w:qFormat/>
    <w:rsid w:val="00e22fa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893e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DEC7-8DEB-471A-8E86-06BC6D22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LibreOffice/7.2.4.1$Linux_X86_64 LibreOffice_project/20$Build-1</Application>
  <AppVersion>15.0000</AppVersion>
  <Pages>6</Pages>
  <Words>1682</Words>
  <Characters>10747</Characters>
  <CharactersWithSpaces>12158</CharactersWithSpaces>
  <Paragraphs>74</Paragraphs>
  <Company>Ростехнадзор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2024-06-07T16:12:00Z</dcterms:created>
  <dc:creator>Баранова Анастасия</dc:creator>
  <dc:description/>
  <dc:language>ru-RU</dc:language>
  <cp:lastModifiedBy/>
  <cp:lastPrinted>2025-09-05T11:18:00Z</cp:lastPrinted>
  <dcterms:modified xsi:type="dcterms:W3CDTF">2025-09-08T14:50:36Z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